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7E51" w14:textId="77777777" w:rsidR="00856A42" w:rsidRDefault="00113E71" w:rsidP="00856A42">
      <w:pPr>
        <w:spacing w:line="240" w:lineRule="auto"/>
        <w:jc w:val="both"/>
      </w:pPr>
      <w:r w:rsidRPr="00117E43">
        <w:rPr>
          <w:rFonts w:ascii="Times New Roman" w:hAnsi="Times New Roman" w:cs="Times New Roman"/>
          <w:b/>
        </w:rPr>
        <w:t>ING. SERGIO FIORE S.P.A.</w:t>
      </w:r>
      <w:r>
        <w:t xml:space="preserve"> </w:t>
      </w:r>
      <w:r w:rsidR="00856A42">
        <w:t>da sempre ha valutato le competenze e le capacità del proprio personale cercando di evitare pregiudizi e stereotipi, ma è nell’ultimo anno, con la decisione di implementare un sistema di gestione ai sensi della UNI/PdR 125:2022, che si avuta una svolta e si è dato inizio ad un percorso concreto e sistematico volto ad incoraggiare una cultura inclusiva e priva di distorsioni anche inconsce che valorizzi tutte le persone presenti in azienda allo stesso modo.</w:t>
      </w:r>
    </w:p>
    <w:p w14:paraId="4164A6CB" w14:textId="77777777" w:rsidR="00856A42" w:rsidRDefault="00117E43" w:rsidP="00856A42">
      <w:pPr>
        <w:spacing w:line="240" w:lineRule="auto"/>
        <w:jc w:val="both"/>
      </w:pPr>
      <w:r w:rsidRPr="00117E43">
        <w:rPr>
          <w:rFonts w:ascii="Times New Roman" w:hAnsi="Times New Roman" w:cs="Times New Roman"/>
          <w:b/>
        </w:rPr>
        <w:t>ING. SERGIO FIORE S.P.A.</w:t>
      </w:r>
      <w:r>
        <w:t xml:space="preserve"> </w:t>
      </w:r>
      <w:r w:rsidR="00856A42">
        <w:t>promuove la non discriminazione e le pari opportunità̀ nello sviluppo professionale e nelle promozioni, basandole esclusivamente sulle capacità ed i livelli professionali.</w:t>
      </w:r>
    </w:p>
    <w:p w14:paraId="4D5F8A85" w14:textId="77777777" w:rsidR="00856A42" w:rsidRDefault="00856A42" w:rsidP="00856A42">
      <w:pPr>
        <w:spacing w:line="240" w:lineRule="auto"/>
        <w:jc w:val="both"/>
      </w:pPr>
      <w:r>
        <w:t>Per una pianificazione della forza lavoro, in linea con i principi di inclusione, sono espliciti i requisiti di conoscenza, abilità e capacità richiesti su ciascun ruolo presente e futuro, dove eventuali lacune sono affrontate e colmate attraverso la formazione. Attraverso un'efficace gestione delle risorse umane, le persone coinvolte in tutte le fasi di progettazione, sviluppo e fornitura di servizi fruiscono di un lavoro dignitoso, condizioni di lavoro sicure e protette, e un trattamento imparziale e rispettoso.</w:t>
      </w:r>
    </w:p>
    <w:p w14:paraId="6551E2CF" w14:textId="77777777" w:rsidR="00856A42" w:rsidRDefault="00856A42" w:rsidP="00856A42">
      <w:pPr>
        <w:spacing w:line="240" w:lineRule="auto"/>
        <w:jc w:val="both"/>
      </w:pPr>
      <w:r>
        <w:t>La politica per la parità di genere parte dal ridurre in modo graduale ma rigoroso le differenze retributive e di avanzamento nella carriera che possono essere occorse nella storia dell’azienda.</w:t>
      </w:r>
    </w:p>
    <w:p w14:paraId="11771EE1" w14:textId="77777777" w:rsidR="00856A42" w:rsidRDefault="00856A42" w:rsidP="00856A42">
      <w:pPr>
        <w:spacing w:line="240" w:lineRule="auto"/>
        <w:jc w:val="both"/>
      </w:pPr>
      <w:r>
        <w:t>Altresì sono messe in atto politiche e piani di reclutamento atti a favorire e valorizzare le diversità in senso lato che portano valore e nuovo impulso in tutti i settori e gli ambiti dell’azienda.</w:t>
      </w:r>
    </w:p>
    <w:p w14:paraId="21E864FF" w14:textId="77777777" w:rsidR="00856A42" w:rsidRDefault="00856A42" w:rsidP="00856A42">
      <w:pPr>
        <w:spacing w:line="240" w:lineRule="auto"/>
        <w:jc w:val="both"/>
      </w:pPr>
      <w:r>
        <w:t>È dimostrato che la presenza di persone di genere diverso e, in senso più ampio di cultura diversa, aprono a nuove idee a soluzioni innovative e alla competizione positiva fra il personale e gruppi di lavoro.</w:t>
      </w:r>
    </w:p>
    <w:p w14:paraId="6B775A82" w14:textId="77777777" w:rsidR="00856A42" w:rsidRDefault="00856A42" w:rsidP="00856A42">
      <w:pPr>
        <w:spacing w:line="240" w:lineRule="auto"/>
        <w:jc w:val="both"/>
      </w:pPr>
      <w:r>
        <w:t xml:space="preserve">L’approccio della </w:t>
      </w:r>
      <w:r w:rsidR="00117E43" w:rsidRPr="00117E43">
        <w:rPr>
          <w:rFonts w:ascii="Times New Roman" w:hAnsi="Times New Roman" w:cs="Times New Roman"/>
          <w:b/>
        </w:rPr>
        <w:t>ING. SERGIO FIORE S.P.A.</w:t>
      </w:r>
      <w:r w:rsidR="00117E43">
        <w:t xml:space="preserve"> </w:t>
      </w:r>
      <w:r>
        <w:t>alla gestione delle risorse umane è radicato nella sensibilità e nella cultura fondata nell’interscambio culturale fra individui, un approccio che poggia le basi sullo sviluppo e la promozione di un posto di lavoro accessibile e rispettoso che favorisca l’inclusione e un senso di appartenenza e, sempre nell’ottica di promuovere uno scambio interculturale, l’azienda pone un deciso impegno nello sviluppo di canali di comunicazione che favoriscano l’inclusione, in modo da rispondere a chiunque acceda a tali canali e possa apprezzare i contenuti divulgati dall’azienda.</w:t>
      </w:r>
    </w:p>
    <w:p w14:paraId="5CD81F31" w14:textId="77777777" w:rsidR="00856A42" w:rsidRDefault="00856A42" w:rsidP="00856A42">
      <w:pPr>
        <w:spacing w:line="240" w:lineRule="auto"/>
        <w:jc w:val="both"/>
      </w:pPr>
      <w:r>
        <w:t xml:space="preserve">L’impegno della </w:t>
      </w:r>
      <w:r w:rsidR="00117E43" w:rsidRPr="00117E43">
        <w:rPr>
          <w:rFonts w:ascii="Times New Roman" w:hAnsi="Times New Roman" w:cs="Times New Roman"/>
          <w:b/>
        </w:rPr>
        <w:t>ING. SERGIO FIORE S.P.A.</w:t>
      </w:r>
      <w:r w:rsidR="00117E43">
        <w:t xml:space="preserve"> </w:t>
      </w:r>
      <w:r>
        <w:t xml:space="preserve">sui temi della parità di genere si concentra in questo momento storico su quattro direttrici principali, nella consapevolezza che l’evoluzione ambientale, socioculturale e di mercato può determinare sempre forme di esclusione, che devono essere per quanto possibile preventivamente identificate, prevenute e contrastate. </w:t>
      </w:r>
    </w:p>
    <w:p w14:paraId="6A317F47" w14:textId="77777777" w:rsidR="00856A42" w:rsidRDefault="00856A42" w:rsidP="00856A42">
      <w:pPr>
        <w:spacing w:line="240" w:lineRule="auto"/>
        <w:jc w:val="both"/>
      </w:pPr>
      <w:r>
        <w:t xml:space="preserve">L’aggiornamento della Politica e dei programmi in materia sarà, pertanto, un indicatore concreto dell’attenzione dell’azienda alla diversità e inclusione, tematiche su cui l’impegno deve continuamente rinnovarsi. </w:t>
      </w:r>
    </w:p>
    <w:p w14:paraId="07ECB6E4" w14:textId="77777777" w:rsidR="00856A42" w:rsidRDefault="00856A42" w:rsidP="00856A42">
      <w:pPr>
        <w:spacing w:line="240" w:lineRule="auto"/>
        <w:jc w:val="both"/>
      </w:pPr>
      <w:r>
        <w:t xml:space="preserve">Seppur la prevalenza negli organici di personale maschile rispetto a quello femminile, </w:t>
      </w:r>
      <w:r w:rsidR="00117E43" w:rsidRPr="00117E43">
        <w:rPr>
          <w:rFonts w:ascii="Times New Roman" w:hAnsi="Times New Roman" w:cs="Times New Roman"/>
          <w:b/>
        </w:rPr>
        <w:t>ING. SERGIO FIORE S.P.A.</w:t>
      </w:r>
      <w:r w:rsidR="00117E43">
        <w:t xml:space="preserve"> </w:t>
      </w:r>
      <w:r>
        <w:t>si impegna a mantenere questo equilibrio attraverso:</w:t>
      </w:r>
    </w:p>
    <w:p w14:paraId="1F30F21E" w14:textId="77777777" w:rsidR="00856A42" w:rsidRDefault="00856A42" w:rsidP="00856A42">
      <w:pPr>
        <w:numPr>
          <w:ilvl w:val="0"/>
          <w:numId w:val="5"/>
        </w:numPr>
        <w:spacing w:after="0" w:line="240" w:lineRule="auto"/>
        <w:jc w:val="both"/>
      </w:pPr>
      <w:r>
        <w:t>Specifici interventi sulle politiche di selezione;</w:t>
      </w:r>
    </w:p>
    <w:p w14:paraId="33C51F99" w14:textId="77777777" w:rsidR="00856A42" w:rsidRDefault="00856A42" w:rsidP="00856A42">
      <w:pPr>
        <w:numPr>
          <w:ilvl w:val="0"/>
          <w:numId w:val="5"/>
        </w:numPr>
        <w:spacing w:after="0" w:line="240" w:lineRule="auto"/>
        <w:jc w:val="both"/>
      </w:pPr>
      <w:r>
        <w:t>Percorsi di formazione e informazione orientati a fornire opportunità di sviluppo in ogni ambito professionale, anche attraverso la testimonianza di role model e la diffusione di casi aziendali e/o extra-aziendali;</w:t>
      </w:r>
    </w:p>
    <w:p w14:paraId="2C59FAFD" w14:textId="77777777" w:rsidR="00856A42" w:rsidRDefault="00856A42" w:rsidP="00856A42">
      <w:pPr>
        <w:numPr>
          <w:ilvl w:val="0"/>
          <w:numId w:val="5"/>
        </w:numPr>
        <w:spacing w:after="0" w:line="240" w:lineRule="auto"/>
        <w:jc w:val="both"/>
      </w:pPr>
      <w:r>
        <w:t>La realizzazione di progetti extra-aziendali che hanno l’obiettivo di orientare le ragazze a seguire le proprie aspirazioni, con particolare attenzione alla sensibilizzazione verso le discipline tecnico-scientifiche, e in generale in ambiti in cui le donne sono sottorappresentate o assenti;</w:t>
      </w:r>
    </w:p>
    <w:p w14:paraId="12FE7D8D" w14:textId="77777777" w:rsidR="00856A42" w:rsidRDefault="00856A42" w:rsidP="00856A42">
      <w:pPr>
        <w:numPr>
          <w:ilvl w:val="0"/>
          <w:numId w:val="5"/>
        </w:numPr>
        <w:spacing w:after="0" w:line="240" w:lineRule="auto"/>
        <w:jc w:val="both"/>
      </w:pPr>
      <w:r>
        <w:t xml:space="preserve">Per garantire la parità dei generi, </w:t>
      </w:r>
      <w:r w:rsidR="00117E43" w:rsidRPr="00117E43">
        <w:rPr>
          <w:rFonts w:ascii="Times New Roman" w:hAnsi="Times New Roman" w:cs="Times New Roman"/>
          <w:b/>
        </w:rPr>
        <w:t>ING. SERGIO FIORE S.P.A.</w:t>
      </w:r>
      <w:r w:rsidR="00117E43">
        <w:t xml:space="preserve"> </w:t>
      </w:r>
      <w:r>
        <w:t xml:space="preserve">ha avviato specifiche progettualità attraverso programmi di sviluppo e valorizzazione dei talenti e politiche retributive di crescita basate su equità e performance. In particolare, al fine di sviluppare la managerialità e la leadership al femminile, </w:t>
      </w:r>
      <w:r w:rsidR="00117E43" w:rsidRPr="00117E43">
        <w:rPr>
          <w:rFonts w:ascii="Times New Roman" w:hAnsi="Times New Roman" w:cs="Times New Roman"/>
          <w:b/>
        </w:rPr>
        <w:t>ING. SERGIO FIORE S.P.A.</w:t>
      </w:r>
      <w:r w:rsidR="00117E43">
        <w:t xml:space="preserve"> </w:t>
      </w:r>
      <w:r>
        <w:t xml:space="preserve">promuove specifici percorsi formativi e di coaching focalizzati a rafforzare le competenze richieste e finalizzati a </w:t>
      </w:r>
      <w:r>
        <w:lastRenderedPageBreak/>
        <w:t>garantire sempre di più l’equilibrio di genere rispetto alla copertura di posizioni di responsabilità.</w:t>
      </w:r>
    </w:p>
    <w:p w14:paraId="48234232" w14:textId="77777777" w:rsidR="00856A42" w:rsidRDefault="00856A42" w:rsidP="00856A42">
      <w:pPr>
        <w:spacing w:after="0" w:line="240" w:lineRule="auto"/>
        <w:ind w:left="1070"/>
        <w:jc w:val="both"/>
      </w:pPr>
    </w:p>
    <w:p w14:paraId="0BAF45F1" w14:textId="77777777" w:rsidR="00856A42" w:rsidRDefault="00117E43" w:rsidP="00856A42">
      <w:pPr>
        <w:spacing w:line="240" w:lineRule="auto"/>
        <w:jc w:val="both"/>
      </w:pPr>
      <w:r w:rsidRPr="00117E43">
        <w:rPr>
          <w:rFonts w:ascii="Times New Roman" w:hAnsi="Times New Roman" w:cs="Times New Roman"/>
          <w:b/>
        </w:rPr>
        <w:t>ING. SERGIO FIORE S.P.A.</w:t>
      </w:r>
      <w:r>
        <w:t xml:space="preserve"> </w:t>
      </w:r>
      <w:r w:rsidR="00856A42">
        <w:t>si impegna infine a contrastare la violenza di genere in ogni sua forma attraverso azioni di sensibilizzazione, e per questo si è dotato anche di una specifica sezione della presente Politica sulle molestie e le violenze nei luoghi di lavoro, con specifici canali attraverso i quali possono essere indirizzate le segnalazioni di comportamenti scorretti.</w:t>
      </w:r>
    </w:p>
    <w:p w14:paraId="5E1AF6DB" w14:textId="77777777" w:rsidR="00856A42" w:rsidRDefault="00856A42" w:rsidP="00856A42">
      <w:pPr>
        <w:spacing w:line="240" w:lineRule="auto"/>
        <w:jc w:val="both"/>
      </w:pPr>
      <w:r>
        <w:t>Tutto ciò non solo accresce ognuno di noi ma favorisce la crescita e prosperità aziendale in un mondo sempre più competitivo.</w:t>
      </w:r>
    </w:p>
    <w:p w14:paraId="4B7D1443" w14:textId="77777777" w:rsidR="00856A42" w:rsidRDefault="00117E43" w:rsidP="00856A42">
      <w:pPr>
        <w:spacing w:line="240" w:lineRule="auto"/>
        <w:jc w:val="both"/>
      </w:pPr>
      <w:r w:rsidRPr="00117E43">
        <w:rPr>
          <w:rFonts w:ascii="Times New Roman" w:hAnsi="Times New Roman" w:cs="Times New Roman"/>
          <w:b/>
        </w:rPr>
        <w:t>ING. SERGIO FIORE S.P.A.</w:t>
      </w:r>
      <w:r>
        <w:t xml:space="preserve"> </w:t>
      </w:r>
      <w:r w:rsidR="00856A42">
        <w:t>da sempre attento all’evoluzione del mercato e alle esigenze delle imprese attua una politica volta a favorire la parità di genere non solo al proprio interno, ma anche privilegiando relazioni e rapporti commerciali con aziende e imprenditori altrettanto impegnati nelle tematiche di inclusione e parità di genere.</w:t>
      </w:r>
    </w:p>
    <w:p w14:paraId="187F2CFA" w14:textId="77777777" w:rsidR="00856A42" w:rsidRDefault="00117E43" w:rsidP="00856A42">
      <w:pPr>
        <w:spacing w:line="240" w:lineRule="auto"/>
        <w:jc w:val="both"/>
      </w:pPr>
      <w:r w:rsidRPr="00117E43">
        <w:rPr>
          <w:rFonts w:ascii="Times New Roman" w:hAnsi="Times New Roman" w:cs="Times New Roman"/>
          <w:b/>
        </w:rPr>
        <w:t>ING. SERGIO FIORE S.P.A.</w:t>
      </w:r>
      <w:r>
        <w:t xml:space="preserve"> </w:t>
      </w:r>
      <w:r w:rsidR="00856A42">
        <w:t xml:space="preserve">nel promuovere e mantenere relazioni con gli stakeholder esterni comunica principi e obiettivi di parità di genere ed in generale di D&amp;I, promuovendo altresì un’attività di sensibilizzazione degli stessi stakeholder sui temi citati e, allo stesso tempo, si pone l’obiettivo di identificare le opportunità̀ per sostenere le loro iniziative. </w:t>
      </w:r>
    </w:p>
    <w:p w14:paraId="61ED361B" w14:textId="77777777" w:rsidR="00856A42" w:rsidRDefault="00856A42" w:rsidP="00856A42">
      <w:pPr>
        <w:spacing w:line="240" w:lineRule="auto"/>
        <w:jc w:val="both"/>
      </w:pPr>
      <w:r>
        <w:t xml:space="preserve">Nei rapporti che la </w:t>
      </w:r>
      <w:r w:rsidR="00117E43" w:rsidRPr="00117E43">
        <w:rPr>
          <w:rFonts w:ascii="Times New Roman" w:hAnsi="Times New Roman" w:cs="Times New Roman"/>
          <w:b/>
        </w:rPr>
        <w:t>ING. SERGIO FIORE S.P.A.</w:t>
      </w:r>
      <w:r w:rsidR="00117E43">
        <w:t xml:space="preserve"> </w:t>
      </w:r>
      <w:r>
        <w:t>intrattiene con gli stakeholder viene data priorità alla comunicazione dei principi e degli obiettivi di parità di genere quando si stabiliscono, supportano, promuovono e mantengono relazioni con gli stessi.</w:t>
      </w:r>
    </w:p>
    <w:p w14:paraId="644187FE" w14:textId="77777777" w:rsidR="00856A42" w:rsidRDefault="00117E43" w:rsidP="00856A42">
      <w:pPr>
        <w:spacing w:line="240" w:lineRule="auto"/>
        <w:jc w:val="both"/>
      </w:pPr>
      <w:r w:rsidRPr="00117E43">
        <w:rPr>
          <w:rFonts w:ascii="Times New Roman" w:hAnsi="Times New Roman" w:cs="Times New Roman"/>
          <w:b/>
        </w:rPr>
        <w:t>ING. SERGIO FIORE S.P.A.</w:t>
      </w:r>
      <w:r>
        <w:t xml:space="preserve"> </w:t>
      </w:r>
      <w:r w:rsidR="00856A42">
        <w:t>raccoglie dati sugli stakeholder attraverso anche l’uso dei social media, al fine di valutare la composizione degli stakeholder stessi, inoltre, si pone l’obiettivo di favorire l’interscambio di esperienze tra l’azienda stessa e gli stakeholder esterni.</w:t>
      </w:r>
    </w:p>
    <w:p w14:paraId="410B017A" w14:textId="77777777" w:rsidR="00856A42" w:rsidRDefault="00856A42" w:rsidP="00117E43">
      <w:pPr>
        <w:spacing w:line="240" w:lineRule="auto"/>
        <w:jc w:val="both"/>
      </w:pPr>
      <w:r>
        <w:t xml:space="preserve">Tutti i dati raccolti in merito alle interrelazioni con gli stakeholder vengono monitorati al fine di comprendere come le interazioni con gli stakeholder esterni influenzino gli obiettivi ed i risultati di parità di genere all’interno della </w:t>
      </w:r>
      <w:r w:rsidR="00117E43" w:rsidRPr="00117E43">
        <w:rPr>
          <w:rFonts w:ascii="Times New Roman" w:hAnsi="Times New Roman" w:cs="Times New Roman"/>
          <w:b/>
        </w:rPr>
        <w:t>ING. SERGIO FIORE S.P.A.</w:t>
      </w:r>
    </w:p>
    <w:p w14:paraId="5E4475DE" w14:textId="77777777" w:rsidR="00856A42" w:rsidRDefault="00856A42" w:rsidP="00856A42">
      <w:pPr>
        <w:spacing w:line="240" w:lineRule="auto"/>
        <w:jc w:val="both"/>
      </w:pPr>
      <w:r>
        <w:t xml:space="preserve">Oltre a ciò, la </w:t>
      </w:r>
      <w:r w:rsidR="00117E43" w:rsidRPr="00117E43">
        <w:rPr>
          <w:rFonts w:ascii="Times New Roman" w:hAnsi="Times New Roman" w:cs="Times New Roman"/>
          <w:b/>
        </w:rPr>
        <w:t>ING. SERGIO FIORE S.P.A.</w:t>
      </w:r>
      <w:r>
        <w:t>:</w:t>
      </w:r>
    </w:p>
    <w:p w14:paraId="036AA99B" w14:textId="77777777" w:rsidR="00856A42" w:rsidRDefault="00856A42" w:rsidP="00856A42">
      <w:pPr>
        <w:spacing w:line="240" w:lineRule="auto"/>
        <w:jc w:val="both"/>
      </w:pPr>
      <w:r>
        <w:t>•</w:t>
      </w:r>
      <w:r>
        <w:tab/>
        <w:t>si impegna concretamente nel welfare familiare, negli aiuti concreti alle famiglie dei propri dipendenti sia in termini economici sia in termini di orari di lavoro flessibili e di lavoro agile;</w:t>
      </w:r>
    </w:p>
    <w:p w14:paraId="2DF95EA0" w14:textId="77777777" w:rsidR="00856A42" w:rsidRDefault="00856A42" w:rsidP="00856A42">
      <w:pPr>
        <w:spacing w:line="240" w:lineRule="auto"/>
        <w:jc w:val="both"/>
      </w:pPr>
      <w:r>
        <w:t>•</w:t>
      </w:r>
      <w:r>
        <w:tab/>
        <w:t>sostiene eventi volti a favorire la parità di genere e l’inclusione;</w:t>
      </w:r>
    </w:p>
    <w:p w14:paraId="52AFE642" w14:textId="77777777" w:rsidR="00856A42" w:rsidRDefault="00856A42" w:rsidP="00856A42">
      <w:pPr>
        <w:spacing w:line="240" w:lineRule="auto"/>
        <w:jc w:val="both"/>
      </w:pPr>
      <w:r>
        <w:t>•</w:t>
      </w:r>
      <w:r>
        <w:tab/>
        <w:t>promuove politiche attive per la parità di genere e l’inclusione mediante post e pubblicazioni sui social media.</w:t>
      </w:r>
    </w:p>
    <w:p w14:paraId="41214C6A" w14:textId="77777777" w:rsidR="00856A42" w:rsidRDefault="00117E43" w:rsidP="00856A42">
      <w:pPr>
        <w:spacing w:line="240" w:lineRule="auto"/>
        <w:jc w:val="both"/>
      </w:pPr>
      <w:r>
        <w:t>Napoli</w:t>
      </w:r>
      <w:r w:rsidR="00B96625">
        <w:t>,</w:t>
      </w:r>
      <w:r w:rsidR="00A27E29">
        <w:t xml:space="preserve"> 16.09.2024</w:t>
      </w:r>
      <w:r w:rsidR="00856A42">
        <w:tab/>
      </w:r>
    </w:p>
    <w:p w14:paraId="357D6190" w14:textId="77777777" w:rsidR="00856A42" w:rsidRDefault="00856A42" w:rsidP="00856A42">
      <w:pPr>
        <w:spacing w:line="240" w:lineRule="auto"/>
        <w:jc w:val="right"/>
      </w:pPr>
      <w:r>
        <w:t>_________________________________</w:t>
      </w:r>
    </w:p>
    <w:p w14:paraId="2614B019" w14:textId="77777777" w:rsidR="00856A42" w:rsidRPr="00856A42" w:rsidRDefault="00856A42" w:rsidP="00B96625">
      <w:pPr>
        <w:spacing w:line="240" w:lineRule="auto"/>
        <w:jc w:val="center"/>
      </w:pPr>
      <w:r>
        <w:t xml:space="preserve">                                                                                                                          Direzione</w:t>
      </w:r>
      <w:r>
        <w:tab/>
      </w:r>
    </w:p>
    <w:sectPr w:rsidR="00856A42" w:rsidRPr="00856A42" w:rsidSect="00B96625">
      <w:headerReference w:type="default" r:id="rId8"/>
      <w:footerReference w:type="default" r:id="rId9"/>
      <w:pgSz w:w="11906" w:h="16838"/>
      <w:pgMar w:top="1417" w:right="1134" w:bottom="1134" w:left="1134"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F5AF" w14:textId="77777777" w:rsidR="009777D3" w:rsidRDefault="009777D3">
      <w:pPr>
        <w:spacing w:after="0" w:line="240" w:lineRule="auto"/>
      </w:pPr>
      <w:r>
        <w:separator/>
      </w:r>
    </w:p>
  </w:endnote>
  <w:endnote w:type="continuationSeparator" w:id="0">
    <w:p w14:paraId="45D7D4E4" w14:textId="77777777" w:rsidR="009777D3" w:rsidRDefault="0097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10" w:type="dxa"/>
      <w:tblInd w:w="-923" w:type="dxa"/>
      <w:tblCellMar>
        <w:top w:w="15" w:type="dxa"/>
        <w:left w:w="15" w:type="dxa"/>
        <w:bottom w:w="15" w:type="dxa"/>
        <w:right w:w="15" w:type="dxa"/>
      </w:tblCellMar>
      <w:tblLook w:val="04A0" w:firstRow="1" w:lastRow="0" w:firstColumn="1" w:lastColumn="0" w:noHBand="0" w:noVBand="1"/>
    </w:tblPr>
    <w:tblGrid>
      <w:gridCol w:w="1702"/>
      <w:gridCol w:w="491"/>
      <w:gridCol w:w="76"/>
      <w:gridCol w:w="76"/>
      <w:gridCol w:w="867"/>
      <w:gridCol w:w="1996"/>
      <w:gridCol w:w="1202"/>
      <w:gridCol w:w="1011"/>
      <w:gridCol w:w="4289"/>
    </w:tblGrid>
    <w:tr w:rsidR="00A27E29" w:rsidRPr="00566B5B" w14:paraId="7C1947BE" w14:textId="77777777" w:rsidTr="00566B5B">
      <w:trPr>
        <w:trHeight w:val="287"/>
      </w:trPr>
      <w:tc>
        <w:tcPr>
          <w:tcW w:w="0" w:type="auto"/>
          <w:tcBorders>
            <w:right w:val="dotted" w:sz="4" w:space="0" w:color="BFBFBF"/>
          </w:tcBorders>
          <w:vAlign w:val="center"/>
          <w:hideMark/>
        </w:tcPr>
        <w:p w14:paraId="4515003D"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color w:val="000000"/>
              <w:sz w:val="20"/>
              <w:szCs w:val="20"/>
            </w:rPr>
            <w:t>Revisione</w:t>
          </w:r>
        </w:p>
      </w:tc>
      <w:tc>
        <w:tcPr>
          <w:tcW w:w="0" w:type="auto"/>
          <w:tcBorders>
            <w:top w:val="dotted" w:sz="4" w:space="0" w:color="BFBFBF"/>
            <w:left w:val="dotted" w:sz="4" w:space="0" w:color="BFBFBF"/>
            <w:bottom w:val="dotted" w:sz="4" w:space="0" w:color="BFBFBF"/>
            <w:right w:val="dotted" w:sz="4" w:space="0" w:color="BFBFBF"/>
          </w:tcBorders>
          <w:hideMark/>
        </w:tcPr>
        <w:p w14:paraId="51B6F575"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b/>
              <w:bCs/>
              <w:color w:val="000000"/>
              <w:sz w:val="20"/>
              <w:szCs w:val="20"/>
            </w:rPr>
            <w:t>00</w:t>
          </w:r>
        </w:p>
      </w:tc>
      <w:tc>
        <w:tcPr>
          <w:tcW w:w="0" w:type="auto"/>
          <w:tcBorders>
            <w:left w:val="dotted" w:sz="4" w:space="0" w:color="BFBFBF"/>
            <w:right w:val="dotted" w:sz="4" w:space="0" w:color="BFBFBF"/>
          </w:tcBorders>
          <w:vAlign w:val="center"/>
          <w:hideMark/>
        </w:tcPr>
        <w:p w14:paraId="72F3666A" w14:textId="77777777" w:rsidR="00566B5B" w:rsidRPr="00566B5B" w:rsidRDefault="00566B5B" w:rsidP="00566B5B">
          <w:pPr>
            <w:spacing w:after="0" w:line="240" w:lineRule="auto"/>
            <w:rPr>
              <w:rFonts w:ascii="Times New Roman" w:eastAsia="Times New Roman" w:hAnsi="Times New Roman" w:cs="Times New Roman"/>
              <w:sz w:val="24"/>
              <w:szCs w:val="24"/>
            </w:rPr>
          </w:pPr>
        </w:p>
      </w:tc>
      <w:tc>
        <w:tcPr>
          <w:tcW w:w="0" w:type="auto"/>
          <w:tcBorders>
            <w:top w:val="dotted" w:sz="4" w:space="0" w:color="BFBFBF"/>
            <w:left w:val="dotted" w:sz="4" w:space="0" w:color="BFBFBF"/>
            <w:bottom w:val="dotted" w:sz="4" w:space="0" w:color="BFBFBF"/>
            <w:right w:val="dotted" w:sz="4" w:space="0" w:color="BFBFBF"/>
          </w:tcBorders>
          <w:vAlign w:val="center"/>
          <w:hideMark/>
        </w:tcPr>
        <w:p w14:paraId="7EACD356" w14:textId="77777777" w:rsidR="00566B5B" w:rsidRPr="00566B5B" w:rsidRDefault="00566B5B" w:rsidP="00566B5B">
          <w:pPr>
            <w:spacing w:after="0" w:line="240" w:lineRule="auto"/>
            <w:rPr>
              <w:rFonts w:ascii="Times New Roman" w:eastAsia="Times New Roman" w:hAnsi="Times New Roman" w:cs="Times New Roman"/>
              <w:sz w:val="24"/>
              <w:szCs w:val="24"/>
            </w:rPr>
          </w:pPr>
        </w:p>
      </w:tc>
      <w:tc>
        <w:tcPr>
          <w:tcW w:w="0" w:type="auto"/>
          <w:tcBorders>
            <w:left w:val="dotted" w:sz="4" w:space="0" w:color="BFBFBF"/>
            <w:right w:val="dotted" w:sz="4" w:space="0" w:color="BFBFBF"/>
          </w:tcBorders>
          <w:vAlign w:val="center"/>
          <w:hideMark/>
        </w:tcPr>
        <w:p w14:paraId="47347A8F"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color w:val="000000"/>
              <w:sz w:val="20"/>
              <w:szCs w:val="20"/>
            </w:rPr>
            <w:t>Data</w:t>
          </w:r>
        </w:p>
      </w:tc>
      <w:tc>
        <w:tcPr>
          <w:tcW w:w="0" w:type="auto"/>
          <w:tcBorders>
            <w:top w:val="dotted" w:sz="4" w:space="0" w:color="BFBFBF"/>
            <w:left w:val="dotted" w:sz="4" w:space="0" w:color="BFBFBF"/>
            <w:bottom w:val="dotted" w:sz="4" w:space="0" w:color="BFBFBF"/>
            <w:right w:val="dotted" w:sz="4" w:space="0" w:color="BFBFBF"/>
          </w:tcBorders>
          <w:vAlign w:val="center"/>
          <w:hideMark/>
        </w:tcPr>
        <w:p w14:paraId="434EA494" w14:textId="77777777" w:rsidR="00566B5B" w:rsidRPr="00566B5B" w:rsidRDefault="00A27E29" w:rsidP="00566B5B">
          <w:pPr>
            <w:spacing w:after="0" w:line="240" w:lineRule="auto"/>
            <w:jc w:val="center"/>
            <w:rPr>
              <w:rFonts w:ascii="Times New Roman" w:eastAsia="Times New Roman" w:hAnsi="Times New Roman" w:cs="Times New Roman"/>
              <w:sz w:val="24"/>
              <w:szCs w:val="24"/>
            </w:rPr>
          </w:pPr>
          <w:r>
            <w:rPr>
              <w:rFonts w:eastAsia="Times New Roman"/>
              <w:b/>
              <w:bCs/>
              <w:color w:val="000000"/>
              <w:sz w:val="20"/>
              <w:szCs w:val="20"/>
            </w:rPr>
            <w:t>16.09.2024</w:t>
          </w:r>
        </w:p>
      </w:tc>
      <w:tc>
        <w:tcPr>
          <w:tcW w:w="0" w:type="auto"/>
          <w:tcBorders>
            <w:left w:val="dotted" w:sz="4" w:space="0" w:color="BFBFBF"/>
            <w:right w:val="dotted" w:sz="4" w:space="0" w:color="BFBFBF"/>
          </w:tcBorders>
          <w:vAlign w:val="center"/>
          <w:hideMark/>
        </w:tcPr>
        <w:p w14:paraId="3B0C996F"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color w:val="000000"/>
              <w:sz w:val="20"/>
              <w:szCs w:val="20"/>
            </w:rPr>
            <w:t>Pagina</w:t>
          </w:r>
        </w:p>
      </w:tc>
      <w:tc>
        <w:tcPr>
          <w:tcW w:w="0" w:type="auto"/>
          <w:tcBorders>
            <w:top w:val="dotted" w:sz="4" w:space="0" w:color="BFBFBF"/>
            <w:left w:val="dotted" w:sz="4" w:space="0" w:color="BFBFBF"/>
            <w:bottom w:val="dotted" w:sz="4" w:space="0" w:color="BFBFBF"/>
            <w:right w:val="dotted" w:sz="4" w:space="0" w:color="BFBFBF"/>
          </w:tcBorders>
          <w:hideMark/>
        </w:tcPr>
        <w:p w14:paraId="6D66FEBA"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b/>
              <w:bCs/>
              <w:color w:val="000000"/>
              <w:sz w:val="20"/>
              <w:szCs w:val="20"/>
            </w:rPr>
            <w:t>1 di 3</w:t>
          </w:r>
        </w:p>
      </w:tc>
      <w:tc>
        <w:tcPr>
          <w:tcW w:w="0" w:type="auto"/>
          <w:tcBorders>
            <w:left w:val="dotted" w:sz="4" w:space="0" w:color="BFBFBF"/>
          </w:tcBorders>
          <w:hideMark/>
        </w:tcPr>
        <w:p w14:paraId="234729BF" w14:textId="77777777" w:rsidR="00566B5B" w:rsidRPr="00566B5B" w:rsidRDefault="00566B5B" w:rsidP="00566B5B">
          <w:pPr>
            <w:spacing w:after="0" w:line="240" w:lineRule="auto"/>
            <w:jc w:val="center"/>
            <w:rPr>
              <w:rFonts w:ascii="Times New Roman" w:eastAsia="Times New Roman" w:hAnsi="Times New Roman" w:cs="Times New Roman"/>
              <w:sz w:val="24"/>
              <w:szCs w:val="24"/>
            </w:rPr>
          </w:pPr>
          <w:r w:rsidRPr="00566B5B">
            <w:rPr>
              <w:rFonts w:eastAsia="Times New Roman"/>
              <w:b/>
              <w:bCs/>
              <w:color w:val="002060"/>
              <w:sz w:val="20"/>
              <w:szCs w:val="20"/>
            </w:rPr>
            <w:t>Politica Parità di Genere</w:t>
          </w:r>
          <w:r w:rsidR="003B5648">
            <w:rPr>
              <w:rFonts w:eastAsia="Times New Roman"/>
              <w:b/>
              <w:bCs/>
              <w:color w:val="002060"/>
              <w:sz w:val="20"/>
              <w:szCs w:val="20"/>
            </w:rPr>
            <w:t xml:space="preserve"> </w:t>
          </w:r>
        </w:p>
      </w:tc>
    </w:tr>
  </w:tbl>
  <w:p w14:paraId="70E24F8A" w14:textId="77777777" w:rsidR="00566B5B" w:rsidRDefault="00566B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0647" w14:textId="77777777" w:rsidR="009777D3" w:rsidRDefault="009777D3">
      <w:pPr>
        <w:spacing w:after="0" w:line="240" w:lineRule="auto"/>
      </w:pPr>
      <w:r>
        <w:separator/>
      </w:r>
    </w:p>
  </w:footnote>
  <w:footnote w:type="continuationSeparator" w:id="0">
    <w:p w14:paraId="5DE857E5" w14:textId="77777777" w:rsidR="009777D3" w:rsidRDefault="0097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4A8" w14:textId="77777777" w:rsidR="00D31000" w:rsidRPr="00113E71" w:rsidRDefault="00113E71" w:rsidP="00D31000">
    <w:pPr>
      <w:widowControl w:val="0"/>
      <w:pBdr>
        <w:top w:val="nil"/>
        <w:left w:val="nil"/>
        <w:bottom w:val="nil"/>
        <w:right w:val="nil"/>
        <w:between w:val="nil"/>
      </w:pBdr>
      <w:spacing w:after="0" w:line="276" w:lineRule="auto"/>
      <w:jc w:val="center"/>
      <w:rPr>
        <w:rFonts w:ascii="Times New Roman" w:eastAsia="Times New Roman" w:hAnsi="Times New Roman" w:cs="Times New Roman"/>
        <w:b/>
        <w:lang w:val="en-US"/>
      </w:rPr>
    </w:pPr>
    <w:bookmarkStart w:id="0" w:name="_Hlk141694838"/>
    <w:r w:rsidRPr="00113E71">
      <w:rPr>
        <w:rFonts w:ascii="Times New Roman" w:hAnsi="Times New Roman" w:cs="Times New Roman"/>
        <w:b/>
        <w:bCs/>
        <w:color w:val="000000"/>
        <w:sz w:val="40"/>
        <w:szCs w:val="32"/>
      </w:rPr>
      <w:t>ING. SERGIO FIORE S.P.A.</w:t>
    </w:r>
    <w:bookmarkEnd w:id="0"/>
  </w:p>
  <w:p w14:paraId="3E82DB52" w14:textId="77777777" w:rsidR="007C1F68" w:rsidRPr="00D31000" w:rsidRDefault="007C1F68">
    <w:pPr>
      <w:pBdr>
        <w:top w:val="nil"/>
        <w:left w:val="nil"/>
        <w:bottom w:val="nil"/>
        <w:right w:val="nil"/>
        <w:between w:val="nil"/>
      </w:pBdr>
      <w:tabs>
        <w:tab w:val="center" w:pos="4819"/>
        <w:tab w:val="right" w:pos="9638"/>
        <w:tab w:val="left" w:pos="3600"/>
      </w:tabs>
      <w:spacing w:after="0" w:line="240" w:lineRule="auto"/>
      <w:rPr>
        <w:color w:val="000000"/>
        <w:sz w:val="4"/>
        <w:szCs w:val="4"/>
        <w:lang w:val="en-US"/>
      </w:rPr>
    </w:pPr>
    <w:bookmarkStart w:id="1" w:name="_heading=h.gjdgxs" w:colFirst="0" w:colLast="0"/>
    <w:bookmarkEnd w:id="1"/>
  </w:p>
  <w:tbl>
    <w:tblPr>
      <w:tblStyle w:val="ad"/>
      <w:tblW w:w="10348" w:type="dxa"/>
      <w:tblInd w:w="-5" w:type="dxa"/>
      <w:tblLayout w:type="fixed"/>
      <w:tblLook w:val="0400" w:firstRow="0" w:lastRow="0" w:firstColumn="0" w:lastColumn="0" w:noHBand="0" w:noVBand="1"/>
    </w:tblPr>
    <w:tblGrid>
      <w:gridCol w:w="7626"/>
      <w:gridCol w:w="567"/>
      <w:gridCol w:w="2155"/>
    </w:tblGrid>
    <w:tr w:rsidR="007C1F68" w14:paraId="2A5DC3F9" w14:textId="77777777">
      <w:tc>
        <w:tcPr>
          <w:tcW w:w="7626" w:type="dxa"/>
          <w:tcBorders>
            <w:top w:val="single" w:sz="4" w:space="0" w:color="000000"/>
            <w:left w:val="single" w:sz="4" w:space="0" w:color="000000"/>
            <w:bottom w:val="single" w:sz="4" w:space="0" w:color="000000"/>
            <w:right w:val="single" w:sz="4" w:space="0" w:color="000000"/>
          </w:tcBorders>
          <w:shd w:val="clear" w:color="auto" w:fill="E7E6E6"/>
        </w:tcPr>
        <w:p w14:paraId="3D24ADE8" w14:textId="77777777" w:rsidR="007C1F68" w:rsidRDefault="00566B5B" w:rsidP="00856A42">
          <w:pPr>
            <w:pBdr>
              <w:top w:val="nil"/>
              <w:left w:val="nil"/>
              <w:bottom w:val="nil"/>
              <w:right w:val="nil"/>
              <w:between w:val="nil"/>
            </w:pBdr>
            <w:tabs>
              <w:tab w:val="center" w:pos="4819"/>
              <w:tab w:val="right" w:pos="9638"/>
              <w:tab w:val="center" w:pos="3932"/>
              <w:tab w:val="left" w:pos="6150"/>
            </w:tabs>
            <w:jc w:val="center"/>
            <w:rPr>
              <w:b/>
              <w:color w:val="000000"/>
              <w:sz w:val="26"/>
              <w:szCs w:val="26"/>
            </w:rPr>
          </w:pPr>
          <w:r w:rsidRPr="00566B5B">
            <w:rPr>
              <w:b/>
              <w:sz w:val="26"/>
              <w:szCs w:val="26"/>
            </w:rPr>
            <w:t>POLITICA PARITA’ DI GENERE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30844F" w14:textId="77777777" w:rsidR="007C1F68" w:rsidRDefault="007C1F68">
          <w:pPr>
            <w:pBdr>
              <w:top w:val="nil"/>
              <w:left w:val="nil"/>
              <w:bottom w:val="nil"/>
              <w:right w:val="nil"/>
              <w:between w:val="nil"/>
            </w:pBdr>
            <w:tabs>
              <w:tab w:val="center" w:pos="4819"/>
              <w:tab w:val="right" w:pos="9638"/>
            </w:tabs>
            <w:jc w:val="center"/>
            <w:rPr>
              <w:b/>
              <w:color w:val="000000"/>
              <w:sz w:val="27"/>
              <w:szCs w:val="27"/>
            </w:rPr>
          </w:pPr>
        </w:p>
      </w:tc>
      <w:tc>
        <w:tcPr>
          <w:tcW w:w="2155" w:type="dxa"/>
          <w:tcBorders>
            <w:top w:val="single" w:sz="4" w:space="0" w:color="000000"/>
            <w:left w:val="single" w:sz="4" w:space="0" w:color="000000"/>
            <w:bottom w:val="single" w:sz="4" w:space="0" w:color="000000"/>
            <w:right w:val="single" w:sz="4" w:space="0" w:color="000000"/>
          </w:tcBorders>
          <w:shd w:val="clear" w:color="auto" w:fill="E7E6E6"/>
        </w:tcPr>
        <w:p w14:paraId="37509B2C" w14:textId="77777777" w:rsidR="007C1F68" w:rsidRDefault="00A87114">
          <w:pPr>
            <w:pBdr>
              <w:top w:val="nil"/>
              <w:left w:val="nil"/>
              <w:bottom w:val="nil"/>
              <w:right w:val="nil"/>
              <w:between w:val="nil"/>
            </w:pBdr>
            <w:tabs>
              <w:tab w:val="center" w:pos="4819"/>
              <w:tab w:val="right" w:pos="9638"/>
              <w:tab w:val="left" w:pos="245"/>
              <w:tab w:val="center" w:pos="909"/>
            </w:tabs>
            <w:ind w:left="-2095" w:firstLine="2095"/>
            <w:jc w:val="center"/>
            <w:rPr>
              <w:b/>
              <w:color w:val="000000"/>
              <w:sz w:val="27"/>
              <w:szCs w:val="27"/>
            </w:rPr>
          </w:pPr>
          <w:r>
            <w:rPr>
              <w:b/>
              <w:color w:val="000000"/>
              <w:sz w:val="27"/>
              <w:szCs w:val="27"/>
            </w:rPr>
            <w:t>PO</w:t>
          </w:r>
          <w:r w:rsidR="00566B5B">
            <w:rPr>
              <w:b/>
              <w:color w:val="000000"/>
              <w:sz w:val="27"/>
              <w:szCs w:val="27"/>
            </w:rPr>
            <w:t>L PG</w:t>
          </w:r>
        </w:p>
      </w:tc>
    </w:tr>
  </w:tbl>
  <w:p w14:paraId="6A33EAE4" w14:textId="77777777" w:rsidR="007C1F68" w:rsidRDefault="007C1F68">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1488"/>
    <w:multiLevelType w:val="hybridMultilevel"/>
    <w:tmpl w:val="A90A6B32"/>
    <w:lvl w:ilvl="0" w:tplc="04100005">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1F69481B"/>
    <w:multiLevelType w:val="hybridMultilevel"/>
    <w:tmpl w:val="37C047EC"/>
    <w:lvl w:ilvl="0" w:tplc="03D2E672">
      <w:numFmt w:val="bullet"/>
      <w:lvlText w:val="•"/>
      <w:lvlJc w:val="left"/>
      <w:pPr>
        <w:ind w:left="1070" w:hanging="71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645C53"/>
    <w:multiLevelType w:val="multilevel"/>
    <w:tmpl w:val="5D283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5656B3"/>
    <w:multiLevelType w:val="hybridMultilevel"/>
    <w:tmpl w:val="9F40CC00"/>
    <w:lvl w:ilvl="0" w:tplc="0CE071D4">
      <w:numFmt w:val="bullet"/>
      <w:lvlText w:val="-"/>
      <w:lvlJc w:val="left"/>
      <w:pPr>
        <w:ind w:left="718" w:hanging="360"/>
      </w:pPr>
      <w:rPr>
        <w:rFonts w:ascii="Calibri" w:eastAsia="Times New Roman"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73F96342"/>
    <w:multiLevelType w:val="multilevel"/>
    <w:tmpl w:val="3B72D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9117194">
    <w:abstractNumId w:val="4"/>
  </w:num>
  <w:num w:numId="2" w16cid:durableId="523634204">
    <w:abstractNumId w:val="2"/>
  </w:num>
  <w:num w:numId="3" w16cid:durableId="564493634">
    <w:abstractNumId w:val="0"/>
  </w:num>
  <w:num w:numId="4" w16cid:durableId="480460551">
    <w:abstractNumId w:val="3"/>
  </w:num>
  <w:num w:numId="5" w16cid:durableId="195509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F68"/>
    <w:rsid w:val="00000835"/>
    <w:rsid w:val="00057794"/>
    <w:rsid w:val="000619A0"/>
    <w:rsid w:val="000757D2"/>
    <w:rsid w:val="000D59FD"/>
    <w:rsid w:val="00104EF0"/>
    <w:rsid w:val="001063D8"/>
    <w:rsid w:val="00113C2B"/>
    <w:rsid w:val="00113E71"/>
    <w:rsid w:val="00117E43"/>
    <w:rsid w:val="001278D4"/>
    <w:rsid w:val="001305BF"/>
    <w:rsid w:val="00152AA1"/>
    <w:rsid w:val="00163961"/>
    <w:rsid w:val="00177175"/>
    <w:rsid w:val="001836FB"/>
    <w:rsid w:val="00183B33"/>
    <w:rsid w:val="001A1B92"/>
    <w:rsid w:val="001A2CDA"/>
    <w:rsid w:val="001A4946"/>
    <w:rsid w:val="001D5AD7"/>
    <w:rsid w:val="001E543F"/>
    <w:rsid w:val="00226C71"/>
    <w:rsid w:val="002836FA"/>
    <w:rsid w:val="002E452D"/>
    <w:rsid w:val="002F58EF"/>
    <w:rsid w:val="0032528B"/>
    <w:rsid w:val="00373A1A"/>
    <w:rsid w:val="0039078F"/>
    <w:rsid w:val="003952DC"/>
    <w:rsid w:val="0039608A"/>
    <w:rsid w:val="003B5648"/>
    <w:rsid w:val="003C4F2E"/>
    <w:rsid w:val="003D79D1"/>
    <w:rsid w:val="003E20A9"/>
    <w:rsid w:val="00402CBD"/>
    <w:rsid w:val="0040477D"/>
    <w:rsid w:val="00425ECE"/>
    <w:rsid w:val="004272D6"/>
    <w:rsid w:val="00485284"/>
    <w:rsid w:val="004E3353"/>
    <w:rsid w:val="00504D5F"/>
    <w:rsid w:val="005063DC"/>
    <w:rsid w:val="00506E27"/>
    <w:rsid w:val="0051039F"/>
    <w:rsid w:val="005561C1"/>
    <w:rsid w:val="00566B5B"/>
    <w:rsid w:val="00571AAD"/>
    <w:rsid w:val="0059426A"/>
    <w:rsid w:val="005A3F56"/>
    <w:rsid w:val="005E5D35"/>
    <w:rsid w:val="00621386"/>
    <w:rsid w:val="006417D3"/>
    <w:rsid w:val="00644D48"/>
    <w:rsid w:val="00655F53"/>
    <w:rsid w:val="0066585B"/>
    <w:rsid w:val="00673915"/>
    <w:rsid w:val="00686299"/>
    <w:rsid w:val="00693DEE"/>
    <w:rsid w:val="006A0F0D"/>
    <w:rsid w:val="006A77FE"/>
    <w:rsid w:val="006B1180"/>
    <w:rsid w:val="006B7CE6"/>
    <w:rsid w:val="006F6064"/>
    <w:rsid w:val="00707F74"/>
    <w:rsid w:val="00720D3A"/>
    <w:rsid w:val="007236D2"/>
    <w:rsid w:val="00726084"/>
    <w:rsid w:val="00741C9B"/>
    <w:rsid w:val="00781CA0"/>
    <w:rsid w:val="00791440"/>
    <w:rsid w:val="007953BB"/>
    <w:rsid w:val="007A362F"/>
    <w:rsid w:val="007C1459"/>
    <w:rsid w:val="007C1F68"/>
    <w:rsid w:val="007D2CFB"/>
    <w:rsid w:val="007F6EFF"/>
    <w:rsid w:val="00803BEC"/>
    <w:rsid w:val="008316CC"/>
    <w:rsid w:val="00856A42"/>
    <w:rsid w:val="008A6E02"/>
    <w:rsid w:val="008B00CD"/>
    <w:rsid w:val="008C493F"/>
    <w:rsid w:val="008F4E47"/>
    <w:rsid w:val="00907616"/>
    <w:rsid w:val="009113B5"/>
    <w:rsid w:val="009336CF"/>
    <w:rsid w:val="00953C22"/>
    <w:rsid w:val="009713DD"/>
    <w:rsid w:val="00975462"/>
    <w:rsid w:val="009777D3"/>
    <w:rsid w:val="00992EB8"/>
    <w:rsid w:val="009A3ECF"/>
    <w:rsid w:val="009B0327"/>
    <w:rsid w:val="009C5FB0"/>
    <w:rsid w:val="009D0074"/>
    <w:rsid w:val="009E17ED"/>
    <w:rsid w:val="00A05890"/>
    <w:rsid w:val="00A24D7D"/>
    <w:rsid w:val="00A27E29"/>
    <w:rsid w:val="00A4650A"/>
    <w:rsid w:val="00A6519D"/>
    <w:rsid w:val="00A775D2"/>
    <w:rsid w:val="00A83992"/>
    <w:rsid w:val="00A87114"/>
    <w:rsid w:val="00A933BF"/>
    <w:rsid w:val="00AA798F"/>
    <w:rsid w:val="00AB677B"/>
    <w:rsid w:val="00AE176B"/>
    <w:rsid w:val="00AE2EC0"/>
    <w:rsid w:val="00B22F95"/>
    <w:rsid w:val="00B5325E"/>
    <w:rsid w:val="00B542CE"/>
    <w:rsid w:val="00B559AC"/>
    <w:rsid w:val="00B64223"/>
    <w:rsid w:val="00B96625"/>
    <w:rsid w:val="00BC3227"/>
    <w:rsid w:val="00BD2EF1"/>
    <w:rsid w:val="00C028E3"/>
    <w:rsid w:val="00C139F6"/>
    <w:rsid w:val="00C50E98"/>
    <w:rsid w:val="00C54089"/>
    <w:rsid w:val="00C554EB"/>
    <w:rsid w:val="00C9265B"/>
    <w:rsid w:val="00C96D92"/>
    <w:rsid w:val="00C97E79"/>
    <w:rsid w:val="00CC4D4A"/>
    <w:rsid w:val="00CD5484"/>
    <w:rsid w:val="00CE70D8"/>
    <w:rsid w:val="00D00261"/>
    <w:rsid w:val="00D07BE4"/>
    <w:rsid w:val="00D12546"/>
    <w:rsid w:val="00D31000"/>
    <w:rsid w:val="00D43BDA"/>
    <w:rsid w:val="00D5277F"/>
    <w:rsid w:val="00DB2163"/>
    <w:rsid w:val="00DD7917"/>
    <w:rsid w:val="00E16C30"/>
    <w:rsid w:val="00E20A09"/>
    <w:rsid w:val="00E26BF5"/>
    <w:rsid w:val="00E51E53"/>
    <w:rsid w:val="00E904F1"/>
    <w:rsid w:val="00E94639"/>
    <w:rsid w:val="00EB0A8D"/>
    <w:rsid w:val="00ED42FA"/>
    <w:rsid w:val="00EF62F1"/>
    <w:rsid w:val="00F11901"/>
    <w:rsid w:val="00F230D8"/>
    <w:rsid w:val="00F31608"/>
    <w:rsid w:val="00F4680C"/>
    <w:rsid w:val="00F53ECA"/>
    <w:rsid w:val="00F57D6D"/>
    <w:rsid w:val="00F661E3"/>
    <w:rsid w:val="00F85D9E"/>
    <w:rsid w:val="00FA6B6A"/>
    <w:rsid w:val="00FF2A84"/>
    <w:rsid w:val="00FF39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F6B10"/>
  <w15:docId w15:val="{F1173089-EC13-4581-B065-A03F5369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7253"/>
  </w:style>
  <w:style w:type="paragraph" w:styleId="Titolo1">
    <w:name w:val="heading 1"/>
    <w:basedOn w:val="Normale"/>
    <w:next w:val="Normale"/>
    <w:uiPriority w:val="9"/>
    <w:qFormat/>
    <w:rsid w:val="0039078F"/>
    <w:pPr>
      <w:keepNext/>
      <w:keepLines/>
      <w:spacing w:before="480" w:after="120"/>
      <w:outlineLvl w:val="0"/>
    </w:pPr>
    <w:rPr>
      <w:b/>
      <w:sz w:val="48"/>
      <w:szCs w:val="48"/>
    </w:rPr>
  </w:style>
  <w:style w:type="paragraph" w:styleId="Titolo2">
    <w:name w:val="heading 2"/>
    <w:basedOn w:val="Normale"/>
    <w:next w:val="Normale"/>
    <w:link w:val="Titolo2Carattere"/>
    <w:uiPriority w:val="9"/>
    <w:semiHidden/>
    <w:unhideWhenUsed/>
    <w:qFormat/>
    <w:rsid w:val="003337B9"/>
    <w:pPr>
      <w:keepNext/>
      <w:spacing w:after="0" w:line="240" w:lineRule="auto"/>
      <w:jc w:val="both"/>
      <w:outlineLvl w:val="1"/>
    </w:pPr>
    <w:rPr>
      <w:rFonts w:ascii="Times New Roman" w:eastAsia="Times New Roman" w:hAnsi="Times New Roman" w:cs="Times New Roman"/>
      <w:sz w:val="24"/>
      <w:szCs w:val="20"/>
    </w:rPr>
  </w:style>
  <w:style w:type="paragraph" w:styleId="Titolo3">
    <w:name w:val="heading 3"/>
    <w:basedOn w:val="Normale"/>
    <w:next w:val="Normale"/>
    <w:uiPriority w:val="9"/>
    <w:semiHidden/>
    <w:unhideWhenUsed/>
    <w:qFormat/>
    <w:rsid w:val="0039078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9078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39078F"/>
    <w:pPr>
      <w:keepNext/>
      <w:keepLines/>
      <w:spacing w:before="220" w:after="40"/>
      <w:outlineLvl w:val="4"/>
    </w:pPr>
    <w:rPr>
      <w:b/>
    </w:rPr>
  </w:style>
  <w:style w:type="paragraph" w:styleId="Titolo6">
    <w:name w:val="heading 6"/>
    <w:basedOn w:val="Normale"/>
    <w:next w:val="Normale"/>
    <w:uiPriority w:val="9"/>
    <w:semiHidden/>
    <w:unhideWhenUsed/>
    <w:qFormat/>
    <w:rsid w:val="0039078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9078F"/>
    <w:tblPr>
      <w:tblCellMar>
        <w:top w:w="0" w:type="dxa"/>
        <w:left w:w="0" w:type="dxa"/>
        <w:bottom w:w="0" w:type="dxa"/>
        <w:right w:w="0" w:type="dxa"/>
      </w:tblCellMar>
    </w:tblPr>
  </w:style>
  <w:style w:type="paragraph" w:styleId="Titolo">
    <w:name w:val="Title"/>
    <w:basedOn w:val="Normale"/>
    <w:next w:val="Normale"/>
    <w:uiPriority w:val="10"/>
    <w:qFormat/>
    <w:rsid w:val="0039078F"/>
    <w:pPr>
      <w:keepNext/>
      <w:keepLines/>
      <w:spacing w:before="480" w:after="120"/>
    </w:pPr>
    <w:rPr>
      <w:b/>
      <w:sz w:val="72"/>
      <w:szCs w:val="72"/>
    </w:rPr>
  </w:style>
  <w:style w:type="table" w:customStyle="1" w:styleId="TableNormal0">
    <w:name w:val="Table Normal"/>
    <w:rsid w:val="0039078F"/>
    <w:tblPr>
      <w:tblCellMar>
        <w:top w:w="0" w:type="dxa"/>
        <w:left w:w="0" w:type="dxa"/>
        <w:bottom w:w="0" w:type="dxa"/>
        <w:right w:w="0" w:type="dxa"/>
      </w:tblCellMar>
    </w:tblPr>
  </w:style>
  <w:style w:type="table" w:customStyle="1" w:styleId="TableNormal1">
    <w:name w:val="Table Normal"/>
    <w:rsid w:val="0039078F"/>
    <w:tblPr>
      <w:tblCellMar>
        <w:top w:w="0" w:type="dxa"/>
        <w:left w:w="0" w:type="dxa"/>
        <w:bottom w:w="0" w:type="dxa"/>
        <w:right w:w="0" w:type="dxa"/>
      </w:tblCellMar>
    </w:tblPr>
  </w:style>
  <w:style w:type="table" w:customStyle="1" w:styleId="TableNormal2">
    <w:name w:val="Table Normal"/>
    <w:rsid w:val="0039078F"/>
    <w:tblPr>
      <w:tblCellMar>
        <w:top w:w="0" w:type="dxa"/>
        <w:left w:w="0" w:type="dxa"/>
        <w:bottom w:w="0" w:type="dxa"/>
        <w:right w:w="0" w:type="dxa"/>
      </w:tblCellMar>
    </w:tblPr>
  </w:style>
  <w:style w:type="table" w:customStyle="1" w:styleId="TableNormal3">
    <w:name w:val="Table Normal"/>
    <w:rsid w:val="0039078F"/>
    <w:tblPr>
      <w:tblCellMar>
        <w:top w:w="0" w:type="dxa"/>
        <w:left w:w="0" w:type="dxa"/>
        <w:bottom w:w="0" w:type="dxa"/>
        <w:right w:w="0" w:type="dxa"/>
      </w:tblCellMar>
    </w:tblPr>
  </w:style>
  <w:style w:type="paragraph" w:styleId="Intestazione">
    <w:name w:val="header"/>
    <w:basedOn w:val="Normale"/>
    <w:link w:val="IntestazioneCarattere"/>
    <w:unhideWhenUsed/>
    <w:rsid w:val="003337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337B9"/>
  </w:style>
  <w:style w:type="paragraph" w:styleId="Pidipagina">
    <w:name w:val="footer"/>
    <w:basedOn w:val="Normale"/>
    <w:link w:val="PidipaginaCarattere"/>
    <w:uiPriority w:val="99"/>
    <w:unhideWhenUsed/>
    <w:rsid w:val="003337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37B9"/>
  </w:style>
  <w:style w:type="character" w:customStyle="1" w:styleId="Titolo2Carattere">
    <w:name w:val="Titolo 2 Carattere"/>
    <w:basedOn w:val="Carpredefinitoparagrafo"/>
    <w:link w:val="Titolo2"/>
    <w:rsid w:val="003337B9"/>
    <w:rPr>
      <w:rFonts w:ascii="Times New Roman" w:eastAsia="Times New Roman" w:hAnsi="Times New Roman" w:cs="Times New Roman"/>
      <w:sz w:val="24"/>
      <w:szCs w:val="20"/>
      <w:lang w:eastAsia="it-IT"/>
    </w:rPr>
  </w:style>
  <w:style w:type="character" w:styleId="Numeropagina">
    <w:name w:val="page number"/>
    <w:basedOn w:val="Carpredefinitoparagrafo"/>
    <w:rsid w:val="003337B9"/>
  </w:style>
  <w:style w:type="table" w:styleId="Grigliatabella">
    <w:name w:val="Table Grid"/>
    <w:basedOn w:val="Tabellanormale"/>
    <w:uiPriority w:val="39"/>
    <w:rsid w:val="0030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9078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39078F"/>
    <w:pPr>
      <w:spacing w:after="0" w:line="240" w:lineRule="auto"/>
    </w:pPr>
    <w:tblPr>
      <w:tblStyleRowBandSize w:val="1"/>
      <w:tblStyleColBandSize w:val="1"/>
      <w:tblCellMar>
        <w:left w:w="108" w:type="dxa"/>
        <w:right w:w="108" w:type="dxa"/>
      </w:tblCellMar>
    </w:tblPr>
  </w:style>
  <w:style w:type="table" w:customStyle="1" w:styleId="a0">
    <w:basedOn w:val="TableNormal3"/>
    <w:rsid w:val="0039078F"/>
    <w:tblPr>
      <w:tblStyleRowBandSize w:val="1"/>
      <w:tblStyleColBandSize w:val="1"/>
      <w:tblCellMar>
        <w:right w:w="115" w:type="dxa"/>
      </w:tblCellMar>
    </w:tblPr>
  </w:style>
  <w:style w:type="table" w:customStyle="1" w:styleId="a1">
    <w:basedOn w:val="TableNormal3"/>
    <w:rsid w:val="0039078F"/>
    <w:tblPr>
      <w:tblStyleRowBandSize w:val="1"/>
      <w:tblStyleColBandSize w:val="1"/>
      <w:tblCellMar>
        <w:left w:w="115" w:type="dxa"/>
        <w:right w:w="115" w:type="dxa"/>
      </w:tblCellMar>
    </w:tblPr>
  </w:style>
  <w:style w:type="table" w:customStyle="1" w:styleId="a2">
    <w:basedOn w:val="TableNormal3"/>
    <w:rsid w:val="0039078F"/>
    <w:pPr>
      <w:spacing w:after="0" w:line="240" w:lineRule="auto"/>
    </w:pPr>
    <w:tblPr>
      <w:tblStyleRowBandSize w:val="1"/>
      <w:tblStyleColBandSize w:val="1"/>
      <w:tblCellMar>
        <w:left w:w="115" w:type="dxa"/>
        <w:right w:w="115" w:type="dxa"/>
      </w:tblCellMar>
    </w:tblPr>
  </w:style>
  <w:style w:type="table" w:customStyle="1" w:styleId="a3">
    <w:basedOn w:val="TableNormal3"/>
    <w:rsid w:val="0039078F"/>
    <w:pPr>
      <w:spacing w:after="0" w:line="240" w:lineRule="auto"/>
    </w:pPr>
    <w:tblPr>
      <w:tblStyleRowBandSize w:val="1"/>
      <w:tblStyleColBandSize w:val="1"/>
      <w:tblCellMar>
        <w:left w:w="115" w:type="dxa"/>
        <w:right w:w="115" w:type="dxa"/>
      </w:tblCellMar>
    </w:tblPr>
  </w:style>
  <w:style w:type="table" w:customStyle="1" w:styleId="a4">
    <w:basedOn w:val="TableNormal3"/>
    <w:rsid w:val="0039078F"/>
    <w:pPr>
      <w:spacing w:after="0" w:line="240" w:lineRule="auto"/>
    </w:pPr>
    <w:tblPr>
      <w:tblStyleRowBandSize w:val="1"/>
      <w:tblStyleColBandSize w:val="1"/>
      <w:tblCellMar>
        <w:left w:w="115" w:type="dxa"/>
        <w:right w:w="115" w:type="dxa"/>
      </w:tblCellMar>
    </w:tblPr>
  </w:style>
  <w:style w:type="table" w:customStyle="1" w:styleId="a5">
    <w:basedOn w:val="TableNormal2"/>
    <w:rsid w:val="0039078F"/>
    <w:pPr>
      <w:spacing w:after="0" w:line="240" w:lineRule="auto"/>
    </w:pPr>
    <w:tblPr>
      <w:tblStyleRowBandSize w:val="1"/>
      <w:tblStyleColBandSize w:val="1"/>
      <w:tblCellMar>
        <w:left w:w="115" w:type="dxa"/>
        <w:right w:w="115" w:type="dxa"/>
      </w:tblCellMar>
    </w:tblPr>
  </w:style>
  <w:style w:type="table" w:customStyle="1" w:styleId="a6">
    <w:basedOn w:val="TableNormal2"/>
    <w:rsid w:val="0039078F"/>
    <w:pPr>
      <w:spacing w:after="0" w:line="240" w:lineRule="auto"/>
    </w:pPr>
    <w:tblPr>
      <w:tblStyleRowBandSize w:val="1"/>
      <w:tblStyleColBandSize w:val="1"/>
      <w:tblCellMar>
        <w:left w:w="115" w:type="dxa"/>
        <w:right w:w="115" w:type="dxa"/>
      </w:tblCellMar>
    </w:tblPr>
  </w:style>
  <w:style w:type="table" w:customStyle="1" w:styleId="a7">
    <w:basedOn w:val="TableNormal2"/>
    <w:rsid w:val="0039078F"/>
    <w:pPr>
      <w:spacing w:after="0" w:line="240" w:lineRule="auto"/>
    </w:pPr>
    <w:tblPr>
      <w:tblStyleRowBandSize w:val="1"/>
      <w:tblStyleColBandSize w:val="1"/>
      <w:tblCellMar>
        <w:left w:w="115" w:type="dxa"/>
        <w:right w:w="115" w:type="dxa"/>
      </w:tblCellMar>
    </w:tblPr>
  </w:style>
  <w:style w:type="paragraph" w:styleId="Paragrafoelenco">
    <w:name w:val="List Paragraph"/>
    <w:basedOn w:val="Normale"/>
    <w:uiPriority w:val="34"/>
    <w:qFormat/>
    <w:rsid w:val="00E63977"/>
    <w:pPr>
      <w:ind w:left="720"/>
      <w:contextualSpacing/>
    </w:pPr>
  </w:style>
  <w:style w:type="table" w:customStyle="1" w:styleId="a8">
    <w:basedOn w:val="TableNormal1"/>
    <w:rsid w:val="0039078F"/>
    <w:pPr>
      <w:spacing w:after="0" w:line="240" w:lineRule="auto"/>
    </w:pPr>
    <w:tblPr>
      <w:tblStyleRowBandSize w:val="1"/>
      <w:tblStyleColBandSize w:val="1"/>
      <w:tblCellMar>
        <w:left w:w="115" w:type="dxa"/>
        <w:right w:w="115" w:type="dxa"/>
      </w:tblCellMar>
    </w:tblPr>
  </w:style>
  <w:style w:type="table" w:customStyle="1" w:styleId="a9">
    <w:basedOn w:val="TableNormal1"/>
    <w:rsid w:val="0039078F"/>
    <w:pPr>
      <w:spacing w:after="0" w:line="240" w:lineRule="auto"/>
    </w:pPr>
    <w:tblPr>
      <w:tblStyleRowBandSize w:val="1"/>
      <w:tblStyleColBandSize w:val="1"/>
      <w:tblCellMar>
        <w:left w:w="115" w:type="dxa"/>
        <w:right w:w="115" w:type="dxa"/>
      </w:tblCellMar>
    </w:tblPr>
  </w:style>
  <w:style w:type="table" w:customStyle="1" w:styleId="aa">
    <w:basedOn w:val="TableNormal1"/>
    <w:rsid w:val="0039078F"/>
    <w:pPr>
      <w:spacing w:after="0" w:line="240" w:lineRule="auto"/>
    </w:pPr>
    <w:tblPr>
      <w:tblStyleRowBandSize w:val="1"/>
      <w:tblStyleColBandSize w:val="1"/>
      <w:tblCellMar>
        <w:left w:w="115" w:type="dxa"/>
        <w:right w:w="115" w:type="dxa"/>
      </w:tblCellMar>
    </w:tblPr>
  </w:style>
  <w:style w:type="table" w:customStyle="1" w:styleId="ab">
    <w:basedOn w:val="TableNormal0"/>
    <w:rsid w:val="0039078F"/>
    <w:pPr>
      <w:spacing w:after="0" w:line="240" w:lineRule="auto"/>
    </w:pPr>
    <w:tblPr>
      <w:tblStyleRowBandSize w:val="1"/>
      <w:tblStyleColBandSize w:val="1"/>
      <w:tblCellMar>
        <w:left w:w="115" w:type="dxa"/>
        <w:right w:w="115" w:type="dxa"/>
      </w:tblCellMar>
    </w:tblPr>
  </w:style>
  <w:style w:type="table" w:customStyle="1" w:styleId="ac">
    <w:basedOn w:val="TableNormal0"/>
    <w:rsid w:val="0039078F"/>
    <w:pPr>
      <w:spacing w:after="0" w:line="240" w:lineRule="auto"/>
    </w:pPr>
    <w:tblPr>
      <w:tblStyleRowBandSize w:val="1"/>
      <w:tblStyleColBandSize w:val="1"/>
      <w:tblCellMar>
        <w:left w:w="115" w:type="dxa"/>
        <w:right w:w="115" w:type="dxa"/>
      </w:tblCellMar>
    </w:tblPr>
  </w:style>
  <w:style w:type="table" w:customStyle="1" w:styleId="ad">
    <w:basedOn w:val="TableNormal0"/>
    <w:rsid w:val="0039078F"/>
    <w:pPr>
      <w:spacing w:after="0" w:line="240" w:lineRule="auto"/>
    </w:pPr>
    <w:tblPr>
      <w:tblStyleRowBandSize w:val="1"/>
      <w:tblStyleColBandSize w:val="1"/>
      <w:tblCellMar>
        <w:left w:w="115" w:type="dxa"/>
        <w:right w:w="115" w:type="dxa"/>
      </w:tblCellMar>
    </w:tblPr>
  </w:style>
  <w:style w:type="paragraph" w:styleId="NormaleWeb">
    <w:name w:val="Normal (Web)"/>
    <w:basedOn w:val="Normale"/>
    <w:uiPriority w:val="99"/>
    <w:semiHidden/>
    <w:unhideWhenUsed/>
    <w:rsid w:val="00566B5B"/>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uiPriority w:val="1"/>
    <w:qFormat/>
    <w:rsid w:val="00F661E3"/>
    <w:pPr>
      <w:suppressAutoHyphens/>
      <w:autoSpaceDE w:val="0"/>
      <w:autoSpaceDN w:val="0"/>
      <w:adjustRightInd w:val="0"/>
      <w:spacing w:after="200" w:line="1" w:lineRule="atLeast"/>
      <w:ind w:leftChars="-1" w:left="-1" w:hangingChars="1" w:hanging="1"/>
      <w:textDirection w:val="btLr"/>
      <w:textAlignment w:val="top"/>
      <w:outlineLvl w:val="0"/>
    </w:pPr>
    <w:rPr>
      <w:rFonts w:ascii="Trebuchet MS" w:eastAsia="Times New Roman" w:hAnsi="Trebuchet MS" w:cs="Trebuchet MS"/>
      <w:position w:val="-1"/>
      <w:sz w:val="20"/>
      <w:szCs w:val="20"/>
    </w:rPr>
  </w:style>
  <w:style w:type="character" w:customStyle="1" w:styleId="apple-tab-span">
    <w:name w:val="apple-tab-span"/>
    <w:basedOn w:val="Carpredefinitoparagrafo"/>
    <w:rsid w:val="00F6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2126">
      <w:bodyDiv w:val="1"/>
      <w:marLeft w:val="0"/>
      <w:marRight w:val="0"/>
      <w:marTop w:val="0"/>
      <w:marBottom w:val="0"/>
      <w:divBdr>
        <w:top w:val="none" w:sz="0" w:space="0" w:color="auto"/>
        <w:left w:val="none" w:sz="0" w:space="0" w:color="auto"/>
        <w:bottom w:val="none" w:sz="0" w:space="0" w:color="auto"/>
        <w:right w:val="none" w:sz="0" w:space="0" w:color="auto"/>
      </w:divBdr>
    </w:div>
    <w:div w:id="90434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mVqOzGsWMv10QJSgcREbNXQxtw==">AMUW2mUpRmdZU9EAk5GYMGActzG/OQ7T9m3b4Ho6fV0M4fyPM/NRrsWkg1T++FUTGpy+FpeaK3qavaRpXy7pt1Qx5KPtkbr+EqySFsFqwVFiYLZtUFU2txlSxP7eMT7GSVj9wRE4+YSTrcGGPBqRL8caT8BiA/XBWmrcVpWtHmKv9aL9M9cVM1M=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 Addati</dc:creator>
  <cp:lastModifiedBy>Giuliano De Martino</cp:lastModifiedBy>
  <cp:revision>2</cp:revision>
  <dcterms:created xsi:type="dcterms:W3CDTF">2025-07-30T21:23:00Z</dcterms:created>
  <dcterms:modified xsi:type="dcterms:W3CDTF">2025-07-30T21:23:00Z</dcterms:modified>
</cp:coreProperties>
</file>